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F4BC1" w14:textId="77777777" w:rsidR="00736C34" w:rsidRDefault="00736C34" w:rsidP="00736C34">
      <w:pPr>
        <w:pStyle w:val="Main"/>
      </w:pPr>
      <w:r>
        <w:t xml:space="preserve">Galerie Hoang Beli, Paris, </w:t>
      </w:r>
      <w:r>
        <w:rPr>
          <w:i/>
          <w:iCs/>
        </w:rPr>
        <w:t xml:space="preserve">England’s Dreaming </w:t>
      </w:r>
      <w:r>
        <w:t>exhibition, 235–236</w:t>
      </w:r>
    </w:p>
    <w:p w14:paraId="6499EED9" w14:textId="77777777" w:rsidR="00736C34" w:rsidRDefault="00736C34" w:rsidP="00736C34">
      <w:pPr>
        <w:pStyle w:val="Main"/>
      </w:pPr>
      <w:r>
        <w:t>Gandarillas, Antonio ‘Tony,’ 116–117, 118</w:t>
      </w:r>
    </w:p>
    <w:p w14:paraId="006CDC78" w14:textId="77777777" w:rsidR="00736C34" w:rsidRDefault="00736C34" w:rsidP="00736C34">
      <w:pPr>
        <w:pStyle w:val="Main"/>
      </w:pPr>
      <w:r>
        <w:t xml:space="preserve">Gascoyne, David, </w:t>
      </w:r>
      <w:r>
        <w:rPr>
          <w:i/>
          <w:iCs/>
        </w:rPr>
        <w:t>First International Surrealist Exhibition</w:t>
      </w:r>
      <w:r>
        <w:t>, 151, 158</w:t>
      </w:r>
    </w:p>
    <w:p w14:paraId="6B528EB4" w14:textId="77777777" w:rsidR="00736C34" w:rsidRDefault="00736C34" w:rsidP="00736C34">
      <w:pPr>
        <w:pStyle w:val="Main"/>
      </w:pPr>
      <w:r>
        <w:t>Gaudier-</w:t>
      </w:r>
      <w:proofErr w:type="spellStart"/>
      <w:r>
        <w:t>Brzeska</w:t>
      </w:r>
      <w:proofErr w:type="spellEnd"/>
      <w:r>
        <w:t>, Henri, 79, 81, 86</w:t>
      </w:r>
    </w:p>
    <w:p w14:paraId="5939888D" w14:textId="77777777" w:rsidR="00736C34" w:rsidRDefault="00736C34" w:rsidP="00736C34">
      <w:pPr>
        <w:pStyle w:val="Main"/>
      </w:pPr>
      <w:r>
        <w:t>Gauguin, Paul, 66, 75, 97</w:t>
      </w:r>
    </w:p>
    <w:p w14:paraId="0F3863AA" w14:textId="77777777" w:rsidR="00736C34" w:rsidRDefault="00736C34" w:rsidP="00736C34">
      <w:pPr>
        <w:pStyle w:val="Main"/>
      </w:pPr>
      <w:r>
        <w:t>Gayford, Martin, 221–222, 224, 228</w:t>
      </w:r>
    </w:p>
    <w:p w14:paraId="01542D74" w14:textId="77777777" w:rsidR="00736C34" w:rsidRDefault="00736C34" w:rsidP="00736C34">
      <w:pPr>
        <w:pStyle w:val="Main"/>
      </w:pPr>
      <w:r>
        <w:t>Germany</w:t>
      </w:r>
    </w:p>
    <w:p w14:paraId="15607391" w14:textId="77777777" w:rsidR="00736C34" w:rsidRDefault="00736C34" w:rsidP="00736C34">
      <w:pPr>
        <w:pStyle w:val="Sub1"/>
      </w:pPr>
      <w:r>
        <w:t>post-war, 89</w:t>
      </w:r>
    </w:p>
    <w:p w14:paraId="303E2C8A" w14:textId="77777777" w:rsidR="00736C34" w:rsidRDefault="00736C34" w:rsidP="00736C34">
      <w:pPr>
        <w:pStyle w:val="Sub1"/>
      </w:pPr>
      <w:r>
        <w:t>unification of, 7</w:t>
      </w:r>
    </w:p>
    <w:p w14:paraId="5C3F6536" w14:textId="77777777" w:rsidR="00736C34" w:rsidRDefault="00736C34" w:rsidP="00736C34">
      <w:pPr>
        <w:pStyle w:val="Sub1"/>
      </w:pPr>
      <w:r>
        <w:rPr>
          <w:i/>
          <w:iCs/>
        </w:rPr>
        <w:t>see also</w:t>
      </w:r>
      <w:r>
        <w:t xml:space="preserve"> Nazism/Nazi Germany</w:t>
      </w:r>
    </w:p>
    <w:p w14:paraId="071ABE39" w14:textId="77777777" w:rsidR="00736C34" w:rsidRDefault="00736C34" w:rsidP="00736C34">
      <w:pPr>
        <w:pStyle w:val="Main"/>
      </w:pPr>
      <w:r>
        <w:t>Giacometti, Alberto</w:t>
      </w:r>
    </w:p>
    <w:p w14:paraId="2800343A" w14:textId="77777777" w:rsidR="00736C34" w:rsidRDefault="00736C34" w:rsidP="00736C34">
      <w:pPr>
        <w:pStyle w:val="Sub1"/>
      </w:pPr>
      <w:r>
        <w:rPr>
          <w:i/>
          <w:iCs/>
        </w:rPr>
        <w:t xml:space="preserve">Femme qui </w:t>
      </w:r>
      <w:proofErr w:type="spellStart"/>
      <w:r>
        <w:rPr>
          <w:i/>
          <w:iCs/>
        </w:rPr>
        <w:t>marche</w:t>
      </w:r>
      <w:proofErr w:type="spellEnd"/>
      <w:r>
        <w:t>, 200</w:t>
      </w:r>
    </w:p>
    <w:p w14:paraId="2AE04C4B" w14:textId="77777777" w:rsidR="00736C34" w:rsidRDefault="00736C34" w:rsidP="00736C34">
      <w:pPr>
        <w:pStyle w:val="Sub1"/>
      </w:pPr>
      <w:r>
        <w:t>and Mason, 200–201</w:t>
      </w:r>
    </w:p>
    <w:p w14:paraId="79DBAE10" w14:textId="77777777" w:rsidR="00736C34" w:rsidRDefault="00736C34" w:rsidP="00736C34">
      <w:pPr>
        <w:pStyle w:val="Main"/>
      </w:pPr>
      <w:r>
        <w:t>Gill, Eric, 79</w:t>
      </w:r>
    </w:p>
    <w:p w14:paraId="7BB18D53" w14:textId="77777777" w:rsidR="00736C34" w:rsidRDefault="00736C34" w:rsidP="00736C34">
      <w:pPr>
        <w:pStyle w:val="Main"/>
      </w:pPr>
      <w:r>
        <w:t>globalisation, 159, 234</w:t>
      </w:r>
    </w:p>
    <w:p w14:paraId="6587B08C" w14:textId="77777777" w:rsidR="00736C34" w:rsidRDefault="00736C34" w:rsidP="00736C34">
      <w:pPr>
        <w:pStyle w:val="Main"/>
      </w:pPr>
      <w:r>
        <w:t>Goddard, Jean-Luc, 96</w:t>
      </w:r>
    </w:p>
    <w:p w14:paraId="218CCD64" w14:textId="77777777" w:rsidR="00736C34" w:rsidRDefault="00736C34" w:rsidP="00736C34">
      <w:pPr>
        <w:pStyle w:val="Main"/>
      </w:pPr>
      <w:r>
        <w:t xml:space="preserve">Grafton Galleries, London, </w:t>
      </w:r>
      <w:r>
        <w:rPr>
          <w:i/>
          <w:iCs/>
        </w:rPr>
        <w:t xml:space="preserve">Manet and the Post-Impressionists </w:t>
      </w:r>
      <w:r>
        <w:t>exhibition, 75, 76–77</w:t>
      </w:r>
    </w:p>
    <w:p w14:paraId="31B049B3" w14:textId="77777777" w:rsidR="00736C34" w:rsidRDefault="00736C34" w:rsidP="00736C34">
      <w:pPr>
        <w:pStyle w:val="Main"/>
      </w:pPr>
      <w:r>
        <w:t>Grant, Duncan, 77, 78, 81–82</w:t>
      </w:r>
    </w:p>
    <w:p w14:paraId="53081FBC" w14:textId="77777777" w:rsidR="00736C34" w:rsidRDefault="00736C34" w:rsidP="00736C34">
      <w:pPr>
        <w:pStyle w:val="Sub1"/>
      </w:pPr>
      <w:r>
        <w:t>in Cassis, 105–108</w:t>
      </w:r>
    </w:p>
    <w:p w14:paraId="79B6429D" w14:textId="77777777" w:rsidR="00736C34" w:rsidRDefault="00736C34" w:rsidP="00736C34">
      <w:pPr>
        <w:pStyle w:val="Sub1"/>
      </w:pPr>
      <w:r>
        <w:rPr>
          <w:i/>
          <w:iCs/>
        </w:rPr>
        <w:t>Landscape in Provence: Cassis</w:t>
      </w:r>
      <w:r>
        <w:t>, 105–106</w:t>
      </w:r>
    </w:p>
    <w:p w14:paraId="602680A3" w14:textId="77777777" w:rsidR="00736C34" w:rsidRDefault="00736C34" w:rsidP="00736C34">
      <w:pPr>
        <w:pStyle w:val="Sub1"/>
      </w:pPr>
      <w:r>
        <w:rPr>
          <w:i/>
          <w:iCs/>
        </w:rPr>
        <w:t>The Lesson in the Orchard</w:t>
      </w:r>
      <w:r>
        <w:t>, 82</w:t>
      </w:r>
    </w:p>
    <w:p w14:paraId="4021D3F1" w14:textId="77777777" w:rsidR="00736C34" w:rsidRDefault="00736C34" w:rsidP="00736C34">
      <w:pPr>
        <w:pStyle w:val="Main"/>
      </w:pPr>
      <w:r>
        <w:t>Gray, Eileen, 216</w:t>
      </w:r>
    </w:p>
    <w:p w14:paraId="6CCC9F83" w14:textId="77777777" w:rsidR="00736C34" w:rsidRDefault="00736C34" w:rsidP="00736C34">
      <w:pPr>
        <w:pStyle w:val="Main"/>
      </w:pPr>
      <w:r>
        <w:t>Greenberg, Clement, 199</w:t>
      </w:r>
    </w:p>
    <w:p w14:paraId="01105210" w14:textId="77777777" w:rsidR="00736C34" w:rsidRDefault="00736C34" w:rsidP="00736C34">
      <w:pPr>
        <w:pStyle w:val="Main"/>
      </w:pPr>
      <w:r>
        <w:t>Greer, Germaine, 47</w:t>
      </w:r>
    </w:p>
    <w:p w14:paraId="6A28F1D2" w14:textId="77777777" w:rsidR="00736C34" w:rsidRDefault="00736C34" w:rsidP="00736C34">
      <w:pPr>
        <w:pStyle w:val="Main"/>
      </w:pPr>
      <w:r>
        <w:t>Guggenheim, Peggy, 184</w:t>
      </w:r>
    </w:p>
    <w:p w14:paraId="3FD20678" w14:textId="77777777" w:rsidR="00736C34" w:rsidRDefault="00736C34" w:rsidP="00736C34">
      <w:pPr>
        <w:pStyle w:val="Main"/>
      </w:pPr>
      <w:r>
        <w:t>Guizot, François, 5</w:t>
      </w:r>
    </w:p>
    <w:p w14:paraId="774EEE3A" w14:textId="77777777" w:rsidR="00736C34" w:rsidRDefault="00736C34" w:rsidP="00736C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A160F99" w14:textId="77777777" w:rsidR="00736C34" w:rsidRDefault="00736C34" w:rsidP="00736C34">
      <w:pPr>
        <w:pStyle w:val="Main"/>
      </w:pPr>
      <w:r>
        <w:t>Hall, Eric, 209</w:t>
      </w:r>
    </w:p>
    <w:p w14:paraId="2B61230C" w14:textId="77777777" w:rsidR="00736C34" w:rsidRDefault="00736C34" w:rsidP="00736C34">
      <w:pPr>
        <w:pStyle w:val="Main"/>
      </w:pPr>
      <w:r>
        <w:t>Hammer, Martin, 217</w:t>
      </w:r>
    </w:p>
    <w:p w14:paraId="488A3B41" w14:textId="77777777" w:rsidR="00736C34" w:rsidRDefault="00736C34" w:rsidP="00736C34">
      <w:pPr>
        <w:pStyle w:val="Main"/>
      </w:pPr>
      <w:r>
        <w:t>Hamnett, Nina, 86–93, 97</w:t>
      </w:r>
    </w:p>
    <w:p w14:paraId="7A1019C8" w14:textId="77777777" w:rsidR="00736C34" w:rsidRDefault="00736C34" w:rsidP="00736C34">
      <w:pPr>
        <w:pStyle w:val="Sub1"/>
      </w:pPr>
      <w:r>
        <w:t xml:space="preserve">as a </w:t>
      </w:r>
      <w:r>
        <w:rPr>
          <w:i/>
          <w:iCs/>
        </w:rPr>
        <w:t>femme libre</w:t>
      </w:r>
      <w:r>
        <w:t>, 93</w:t>
      </w:r>
    </w:p>
    <w:p w14:paraId="56BA0072" w14:textId="77777777" w:rsidR="00736C34" w:rsidRDefault="00736C34" w:rsidP="00736C34">
      <w:pPr>
        <w:pStyle w:val="Sub1"/>
      </w:pPr>
      <w:r>
        <w:t>on meeting Wood, 117</w:t>
      </w:r>
    </w:p>
    <w:p w14:paraId="38AFF9BE" w14:textId="77777777" w:rsidR="00736C34" w:rsidRDefault="00736C34" w:rsidP="00736C34">
      <w:pPr>
        <w:pStyle w:val="Sub1"/>
      </w:pPr>
      <w:r>
        <w:t>in Montparnasse, Paris, 86–88, 91–92, 93</w:t>
      </w:r>
    </w:p>
    <w:p w14:paraId="520CD02E" w14:textId="77777777" w:rsidR="00736C34" w:rsidRDefault="00736C34" w:rsidP="00736C34">
      <w:pPr>
        <w:pStyle w:val="Sub1"/>
      </w:pPr>
      <w:r>
        <w:rPr>
          <w:i/>
          <w:iCs/>
        </w:rPr>
        <w:t>Paris Café</w:t>
      </w:r>
      <w:r>
        <w:t>, 92</w:t>
      </w:r>
    </w:p>
    <w:p w14:paraId="509B4C9A" w14:textId="77777777" w:rsidR="00736C34" w:rsidRDefault="00736C34" w:rsidP="00736C34">
      <w:pPr>
        <w:pStyle w:val="Sub1"/>
      </w:pPr>
      <w:r>
        <w:rPr>
          <w:i/>
          <w:iCs/>
        </w:rPr>
        <w:t xml:space="preserve">She a Lady? </w:t>
      </w:r>
      <w:r>
        <w:t>(autobiography), 92–93</w:t>
      </w:r>
    </w:p>
    <w:p w14:paraId="70D68C41" w14:textId="77777777" w:rsidR="00736C34" w:rsidRDefault="00736C34" w:rsidP="00736C34">
      <w:pPr>
        <w:pStyle w:val="Main"/>
      </w:pPr>
      <w:r>
        <w:t>Hardcastle, Leda, 149</w:t>
      </w:r>
    </w:p>
    <w:p w14:paraId="71CF916C" w14:textId="77777777" w:rsidR="00736C34" w:rsidRDefault="00736C34" w:rsidP="00736C34">
      <w:pPr>
        <w:pStyle w:val="Main"/>
      </w:pPr>
      <w:r>
        <w:t>Hayter, Stanley William (Bill), 93–96, 190–191, 197</w:t>
      </w:r>
    </w:p>
    <w:p w14:paraId="430AC728" w14:textId="77777777" w:rsidR="00736C34" w:rsidRDefault="00736C34" w:rsidP="00736C34">
      <w:pPr>
        <w:pStyle w:val="Main"/>
      </w:pPr>
      <w:r>
        <w:t xml:space="preserve">Hazan, Éric, </w:t>
      </w:r>
      <w:r>
        <w:rPr>
          <w:i/>
          <w:iCs/>
        </w:rPr>
        <w:t>Paris in Turmoil</w:t>
      </w:r>
      <w:r>
        <w:t>, 235</w:t>
      </w:r>
    </w:p>
    <w:p w14:paraId="0F872B2B" w14:textId="77777777" w:rsidR="00736C34" w:rsidRDefault="00736C34" w:rsidP="00736C34">
      <w:pPr>
        <w:pStyle w:val="Main"/>
      </w:pPr>
      <w:proofErr w:type="spellStart"/>
      <w:r>
        <w:t>Hélion</w:t>
      </w:r>
      <w:proofErr w:type="spellEnd"/>
      <w:r>
        <w:t>, Jean, 164, 171–172</w:t>
      </w:r>
    </w:p>
    <w:p w14:paraId="4F8FB7BC" w14:textId="77777777" w:rsidR="00736C34" w:rsidRDefault="00736C34" w:rsidP="00736C34">
      <w:pPr>
        <w:pStyle w:val="Main"/>
      </w:pPr>
      <w:r>
        <w:t>Hemingway, Ernest, 91–92</w:t>
      </w:r>
    </w:p>
    <w:p w14:paraId="57887A17" w14:textId="77777777" w:rsidR="00736C34" w:rsidRDefault="00736C34" w:rsidP="00736C34">
      <w:pPr>
        <w:pStyle w:val="Main"/>
      </w:pPr>
      <w:r>
        <w:t>Hepworth, Barbara, 170</w:t>
      </w:r>
    </w:p>
    <w:p w14:paraId="29C0B98C" w14:textId="77777777" w:rsidR="00736C34" w:rsidRDefault="00736C34" w:rsidP="00736C34">
      <w:pPr>
        <w:pStyle w:val="Main"/>
      </w:pPr>
      <w:r>
        <w:t>Heron, Patrick, 1, 197–198, 199</w:t>
      </w:r>
    </w:p>
    <w:p w14:paraId="619AE6A1" w14:textId="77777777" w:rsidR="00736C34" w:rsidRDefault="00736C34" w:rsidP="00736C34">
      <w:pPr>
        <w:pStyle w:val="Main"/>
      </w:pPr>
      <w:r>
        <w:t>Hillier, Tristram</w:t>
      </w:r>
    </w:p>
    <w:p w14:paraId="0E8EA63A" w14:textId="77777777" w:rsidR="00736C34" w:rsidRDefault="00736C34" w:rsidP="00736C34">
      <w:pPr>
        <w:pStyle w:val="Sub1"/>
      </w:pPr>
      <w:r>
        <w:t>in Cassis, 99, 146–147, 148</w:t>
      </w:r>
    </w:p>
    <w:p w14:paraId="118BBC97" w14:textId="77777777" w:rsidR="00736C34" w:rsidRDefault="00736C34" w:rsidP="00736C34">
      <w:pPr>
        <w:pStyle w:val="Sub1"/>
      </w:pPr>
      <w:r>
        <w:t>early life and education, 146</w:t>
      </w:r>
    </w:p>
    <w:p w14:paraId="38CEA534" w14:textId="77777777" w:rsidR="00736C34" w:rsidRDefault="00736C34" w:rsidP="00736C34">
      <w:pPr>
        <w:pStyle w:val="Sub1"/>
      </w:pPr>
      <w:r>
        <w:rPr>
          <w:i/>
          <w:iCs/>
        </w:rPr>
        <w:t>La Route des Alpes</w:t>
      </w:r>
      <w:r>
        <w:t>, 149–150</w:t>
      </w:r>
    </w:p>
    <w:p w14:paraId="6AA48624" w14:textId="77777777" w:rsidR="00736C34" w:rsidRDefault="00736C34" w:rsidP="00736C34">
      <w:pPr>
        <w:pStyle w:val="Sub1"/>
      </w:pPr>
      <w:r>
        <w:t>in Paris, 147</w:t>
      </w:r>
    </w:p>
    <w:p w14:paraId="44BB1381" w14:textId="77777777" w:rsidR="00736C34" w:rsidRDefault="00736C34" w:rsidP="00736C34">
      <w:pPr>
        <w:pStyle w:val="Sub1"/>
      </w:pPr>
      <w:r>
        <w:t>and the Second World War, 195–196</w:t>
      </w:r>
    </w:p>
    <w:p w14:paraId="57E82270" w14:textId="77777777" w:rsidR="00736C34" w:rsidRDefault="00736C34" w:rsidP="00736C34">
      <w:pPr>
        <w:pStyle w:val="Sub1"/>
      </w:pPr>
      <w:r>
        <w:t>in the South of France, 145, 149–150</w:t>
      </w:r>
    </w:p>
    <w:p w14:paraId="7F7E1613" w14:textId="77777777" w:rsidR="00736C34" w:rsidRDefault="00736C34" w:rsidP="00736C34">
      <w:pPr>
        <w:pStyle w:val="Sub1"/>
      </w:pPr>
      <w:r>
        <w:t>travels, 146, 148–149</w:t>
      </w:r>
    </w:p>
    <w:p w14:paraId="2321CC9E" w14:textId="77777777" w:rsidR="00736C34" w:rsidRDefault="00736C34" w:rsidP="00736C34">
      <w:pPr>
        <w:pStyle w:val="Sub1"/>
      </w:pPr>
      <w:r>
        <w:t>and Wadsworth, 149</w:t>
      </w:r>
    </w:p>
    <w:p w14:paraId="62B38AA9" w14:textId="77777777" w:rsidR="00736C34" w:rsidRDefault="00736C34" w:rsidP="00736C34">
      <w:pPr>
        <w:pStyle w:val="Main"/>
      </w:pPr>
      <w:r>
        <w:t>Hitler, Adolf, 193</w:t>
      </w:r>
    </w:p>
    <w:p w14:paraId="1CDB5741" w14:textId="77777777" w:rsidR="00736C34" w:rsidRDefault="00736C34" w:rsidP="00736C34">
      <w:pPr>
        <w:pStyle w:val="Main"/>
      </w:pPr>
      <w:r>
        <w:t>Hockney, David</w:t>
      </w:r>
    </w:p>
    <w:p w14:paraId="25AF14A2" w14:textId="77777777" w:rsidR="00736C34" w:rsidRDefault="00736C34" w:rsidP="00736C34">
      <w:pPr>
        <w:pStyle w:val="Sub1"/>
      </w:pPr>
      <w:r>
        <w:rPr>
          <w:i/>
          <w:iCs/>
        </w:rPr>
        <w:t>The Arrival of Spring</w:t>
      </w:r>
      <w:r>
        <w:t>, 228</w:t>
      </w:r>
    </w:p>
    <w:p w14:paraId="48B75149" w14:textId="77777777" w:rsidR="00736C34" w:rsidRDefault="00736C34" w:rsidP="00736C34">
      <w:pPr>
        <w:pStyle w:val="Sub1"/>
      </w:pPr>
      <w:r>
        <w:rPr>
          <w:i/>
          <w:iCs/>
        </w:rPr>
        <w:t>The Artist and His Model</w:t>
      </w:r>
      <w:r>
        <w:t>, 223</w:t>
      </w:r>
    </w:p>
    <w:p w14:paraId="3BB62D78" w14:textId="77777777" w:rsidR="00736C34" w:rsidRDefault="00736C34" w:rsidP="00736C34">
      <w:pPr>
        <w:pStyle w:val="Sub1"/>
      </w:pPr>
      <w:r>
        <w:lastRenderedPageBreak/>
        <w:t>and</w:t>
      </w:r>
      <w:r>
        <w:rPr>
          <w:i/>
          <w:iCs/>
        </w:rPr>
        <w:t xml:space="preserve"> </w:t>
      </w:r>
      <w:r>
        <w:t>Bacon, 227</w:t>
      </w:r>
    </w:p>
    <w:p w14:paraId="56FB272A" w14:textId="77777777" w:rsidR="00736C34" w:rsidRDefault="00736C34" w:rsidP="00736C34">
      <w:pPr>
        <w:pStyle w:val="Sub1"/>
      </w:pPr>
      <w:r>
        <w:rPr>
          <w:i/>
          <w:iCs/>
        </w:rPr>
        <w:t>A Bigger Splash</w:t>
      </w:r>
      <w:r>
        <w:t>, 231</w:t>
      </w:r>
    </w:p>
    <w:p w14:paraId="7C1A568A" w14:textId="77777777" w:rsidR="00736C34" w:rsidRDefault="00736C34" w:rsidP="00736C34">
      <w:pPr>
        <w:pStyle w:val="Sub1"/>
      </w:pPr>
      <w:r>
        <w:rPr>
          <w:i/>
          <w:iCs/>
        </w:rPr>
        <w:t>David Hockney 25</w:t>
      </w:r>
      <w:r>
        <w:t xml:space="preserve"> (Paris exhibition), 230–231</w:t>
      </w:r>
    </w:p>
    <w:p w14:paraId="1976D5A2" w14:textId="77777777" w:rsidR="00736C34" w:rsidRDefault="00736C34" w:rsidP="00736C34">
      <w:pPr>
        <w:pStyle w:val="Sub1"/>
      </w:pPr>
      <w:r>
        <w:t>early life and education, 222</w:t>
      </w:r>
    </w:p>
    <w:p w14:paraId="7EEE7819" w14:textId="77777777" w:rsidR="00736C34" w:rsidRDefault="00736C34" w:rsidP="00736C34">
      <w:pPr>
        <w:pStyle w:val="Sub1"/>
      </w:pPr>
      <w:r>
        <w:rPr>
          <w:i/>
          <w:iCs/>
        </w:rPr>
        <w:t>Early Morning, Sainte-Maxine</w:t>
      </w:r>
      <w:r>
        <w:t>, 225</w:t>
      </w:r>
    </w:p>
    <w:p w14:paraId="1D824587" w14:textId="77777777" w:rsidR="00736C34" w:rsidRDefault="00736C34" w:rsidP="00736C34">
      <w:pPr>
        <w:pStyle w:val="Sub1"/>
      </w:pPr>
      <w:r>
        <w:t xml:space="preserve">on French </w:t>
      </w:r>
      <w:r>
        <w:rPr>
          <w:i/>
          <w:iCs/>
        </w:rPr>
        <w:t>savoir vivre</w:t>
      </w:r>
      <w:r>
        <w:t>, 243</w:t>
      </w:r>
    </w:p>
    <w:p w14:paraId="29B21BFE" w14:textId="77777777" w:rsidR="00736C34" w:rsidRDefault="00736C34" w:rsidP="00736C34">
      <w:pPr>
        <w:pStyle w:val="Sub1"/>
      </w:pPr>
      <w:r>
        <w:t>influences, 223–224, 229</w:t>
      </w:r>
    </w:p>
    <w:p w14:paraId="30E8B1D8" w14:textId="77777777" w:rsidR="00736C34" w:rsidRDefault="00736C34" w:rsidP="00736C34">
      <w:pPr>
        <w:pStyle w:val="Sub1"/>
      </w:pPr>
      <w:r>
        <w:rPr>
          <w:i/>
          <w:iCs/>
        </w:rPr>
        <w:t>La Grande Cour</w:t>
      </w:r>
      <w:r>
        <w:t>, 230</w:t>
      </w:r>
    </w:p>
    <w:p w14:paraId="69FB8BC0" w14:textId="77777777" w:rsidR="00736C34" w:rsidRDefault="00736C34" w:rsidP="00736C34">
      <w:pPr>
        <w:pStyle w:val="Sub1"/>
      </w:pPr>
      <w:r>
        <w:t>in Normandy, 221–222, 228</w:t>
      </w:r>
    </w:p>
    <w:p w14:paraId="722D2E3F" w14:textId="77777777" w:rsidR="00736C34" w:rsidRDefault="00736C34" w:rsidP="00736C34">
      <w:pPr>
        <w:pStyle w:val="Sub1"/>
      </w:pPr>
      <w:r>
        <w:t>and Paris, 223–224, 227–230, 236</w:t>
      </w:r>
    </w:p>
    <w:p w14:paraId="4A541D7F" w14:textId="77777777" w:rsidR="00736C34" w:rsidRDefault="00736C34" w:rsidP="00736C34">
      <w:pPr>
        <w:pStyle w:val="Sub1"/>
      </w:pPr>
      <w:r>
        <w:rPr>
          <w:i/>
          <w:iCs/>
        </w:rPr>
        <w:t>Portrait of an Artist (Pool with Two Figures)</w:t>
      </w:r>
      <w:r>
        <w:t>, 226, 230–231</w:t>
      </w:r>
    </w:p>
    <w:p w14:paraId="17FC7FA9" w14:textId="77777777" w:rsidR="00736C34" w:rsidRDefault="00736C34" w:rsidP="00736C34">
      <w:pPr>
        <w:pStyle w:val="Sub1"/>
      </w:pPr>
      <w:r>
        <w:t>in the South of France, 225–227</w:t>
      </w:r>
    </w:p>
    <w:p w14:paraId="4CBA26CC" w14:textId="77777777" w:rsidR="00736C34" w:rsidRDefault="00736C34" w:rsidP="00736C34">
      <w:pPr>
        <w:pStyle w:val="Sub1"/>
      </w:pPr>
      <w:r>
        <w:rPr>
          <w:i/>
          <w:iCs/>
        </w:rPr>
        <w:t>The Student</w:t>
      </w:r>
      <w:r>
        <w:t>, 223</w:t>
      </w:r>
    </w:p>
    <w:p w14:paraId="1C6F46FD" w14:textId="77777777" w:rsidR="00736C34" w:rsidRDefault="00736C34" w:rsidP="00736C34">
      <w:pPr>
        <w:pStyle w:val="Sub1"/>
      </w:pPr>
      <w:r>
        <w:t>and the United States, 223, 225, 228</w:t>
      </w:r>
    </w:p>
    <w:p w14:paraId="74031A72" w14:textId="77777777" w:rsidR="00736C34" w:rsidRDefault="00736C34" w:rsidP="00736C34">
      <w:pPr>
        <w:pStyle w:val="Sub1"/>
      </w:pPr>
      <w:r>
        <w:t>and Yorkshire, 222, 228</w:t>
      </w:r>
    </w:p>
    <w:p w14:paraId="361A6CA5" w14:textId="77777777" w:rsidR="00736C34" w:rsidRDefault="00736C34" w:rsidP="00736C34">
      <w:pPr>
        <w:pStyle w:val="Main"/>
      </w:pPr>
      <w:r>
        <w:t>Hodgkins, Irene ‘Hodge’ (‘Georgiana’), 148</w:t>
      </w:r>
    </w:p>
    <w:p w14:paraId="2EC6B8B4" w14:textId="77777777" w:rsidR="00736C34" w:rsidRDefault="00736C34" w:rsidP="00736C34">
      <w:pPr>
        <w:pStyle w:val="Main"/>
      </w:pPr>
      <w:r>
        <w:t>Hogarth, William, 135</w:t>
      </w:r>
    </w:p>
    <w:p w14:paraId="18A8A52A" w14:textId="77777777" w:rsidR="00736C34" w:rsidRDefault="00736C34" w:rsidP="00736C34">
      <w:pPr>
        <w:pStyle w:val="Main"/>
      </w:pPr>
      <w:r>
        <w:t>Holland, Robert, 110–111</w:t>
      </w:r>
    </w:p>
    <w:p w14:paraId="18D4F295" w14:textId="77777777" w:rsidR="00736C34" w:rsidRDefault="00736C34" w:rsidP="00736C34">
      <w:pPr>
        <w:pStyle w:val="Sub1"/>
      </w:pPr>
      <w:r>
        <w:rPr>
          <w:i/>
          <w:iCs/>
        </w:rPr>
        <w:t>The Warm South</w:t>
      </w:r>
      <w:r>
        <w:t>, 2</w:t>
      </w:r>
    </w:p>
    <w:p w14:paraId="3C6B0C0E" w14:textId="77777777" w:rsidR="00736C34" w:rsidRDefault="00736C34" w:rsidP="00736C34">
      <w:pPr>
        <w:pStyle w:val="Main"/>
      </w:pPr>
      <w:r>
        <w:t>Holroyd, Michael, 41</w:t>
      </w:r>
    </w:p>
    <w:p w14:paraId="71BA4B53" w14:textId="77777777" w:rsidR="00736C34" w:rsidRDefault="00736C34" w:rsidP="00736C34">
      <w:pPr>
        <w:pStyle w:val="Main"/>
      </w:pPr>
      <w:r>
        <w:t>Hooker, Denise, 88</w:t>
      </w:r>
    </w:p>
    <w:p w14:paraId="12E8B1FB" w14:textId="77777777" w:rsidR="00736C34" w:rsidRDefault="00736C34" w:rsidP="00736C34">
      <w:pPr>
        <w:pStyle w:val="Main"/>
      </w:pPr>
      <w:r>
        <w:t>horses, and Carrington, 183–184</w:t>
      </w:r>
    </w:p>
    <w:p w14:paraId="0400A35C" w14:textId="77777777" w:rsidR="00736C34" w:rsidRDefault="00736C34" w:rsidP="00736C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787A43D" w14:textId="77777777" w:rsidR="00736C34" w:rsidRDefault="00736C34" w:rsidP="00736C34">
      <w:pPr>
        <w:pStyle w:val="Main"/>
      </w:pPr>
      <w:r>
        <w:t>Impressionists, 19, 21–22, 23</w:t>
      </w:r>
    </w:p>
    <w:p w14:paraId="19B48B42" w14:textId="77777777" w:rsidR="00736C34" w:rsidRDefault="00736C34" w:rsidP="00736C34">
      <w:pPr>
        <w:pStyle w:val="Sub1"/>
      </w:pPr>
      <w:r>
        <w:rPr>
          <w:i/>
          <w:iCs/>
        </w:rPr>
        <w:t>see also</w:t>
      </w:r>
      <w:r>
        <w:t xml:space="preserve"> Cézanne, Paul</w:t>
      </w:r>
    </w:p>
    <w:p w14:paraId="3E4F2750" w14:textId="77777777" w:rsidR="00736C34" w:rsidRDefault="00736C34" w:rsidP="00736C34">
      <w:pPr>
        <w:pStyle w:val="Main"/>
      </w:pPr>
      <w:r>
        <w:t>industrialisation, 62–63, 175, 240</w:t>
      </w:r>
    </w:p>
    <w:p w14:paraId="7DA3F4B6" w14:textId="77777777" w:rsidR="00736C34" w:rsidRDefault="00736C34" w:rsidP="00736C34">
      <w:pPr>
        <w:pStyle w:val="Main"/>
      </w:pPr>
      <w:r>
        <w:t>internationalism, 159, 171, 175–176</w:t>
      </w:r>
    </w:p>
    <w:p w14:paraId="15EFE35B" w14:textId="77777777" w:rsidR="00736C34" w:rsidRDefault="00736C34" w:rsidP="00736C34">
      <w:pPr>
        <w:pStyle w:val="Main"/>
      </w:pPr>
      <w:r>
        <w:t>Isherwood, Christopher, 138</w:t>
      </w:r>
    </w:p>
    <w:p w14:paraId="2EF1C9A4" w14:textId="77777777" w:rsidR="00736C34" w:rsidRDefault="00736C34" w:rsidP="00736C34">
      <w:pPr>
        <w:pStyle w:val="Main"/>
      </w:pPr>
      <w:r>
        <w:t>Italian Futurists, 79, 80</w:t>
      </w:r>
    </w:p>
    <w:p w14:paraId="0CD1592B" w14:textId="77777777" w:rsidR="00736C34" w:rsidRDefault="00736C34" w:rsidP="00736C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56569020" w14:textId="77777777" w:rsidR="00736C34" w:rsidRDefault="00736C34" w:rsidP="00736C34">
      <w:pPr>
        <w:pStyle w:val="Main"/>
      </w:pPr>
      <w:r>
        <w:t>John, Augustus</w:t>
      </w:r>
    </w:p>
    <w:p w14:paraId="51E3FCBB" w14:textId="77777777" w:rsidR="00736C34" w:rsidRDefault="00736C34" w:rsidP="00736C34">
      <w:pPr>
        <w:pStyle w:val="Sub1"/>
      </w:pPr>
      <w:r>
        <w:t>bohemianism and ‘temperament,’ 40–41</w:t>
      </w:r>
    </w:p>
    <w:p w14:paraId="32637B5C" w14:textId="77777777" w:rsidR="00736C34" w:rsidRDefault="00736C34" w:rsidP="00736C34">
      <w:pPr>
        <w:pStyle w:val="Sub1"/>
      </w:pPr>
      <w:r>
        <w:t>early life, 40</w:t>
      </w:r>
    </w:p>
    <w:p w14:paraId="2D8041B4" w14:textId="77777777" w:rsidR="00736C34" w:rsidRDefault="00736C34" w:rsidP="00736C34">
      <w:pPr>
        <w:pStyle w:val="Sub1"/>
      </w:pPr>
      <w:r>
        <w:t xml:space="preserve">exhibition at the </w:t>
      </w:r>
      <w:proofErr w:type="spellStart"/>
      <w:r>
        <w:t>Chenil</w:t>
      </w:r>
      <w:proofErr w:type="spellEnd"/>
      <w:r>
        <w:t xml:space="preserve"> Gallery, London, 69</w:t>
      </w:r>
    </w:p>
    <w:p w14:paraId="2C656298" w14:textId="77777777" w:rsidR="00736C34" w:rsidRDefault="00736C34" w:rsidP="00736C34">
      <w:pPr>
        <w:pStyle w:val="Sub1"/>
      </w:pPr>
      <w:r>
        <w:t>and Gwen, 46, 48</w:t>
      </w:r>
    </w:p>
    <w:p w14:paraId="488430A4" w14:textId="77777777" w:rsidR="00736C34" w:rsidRDefault="00736C34" w:rsidP="00736C34">
      <w:pPr>
        <w:pStyle w:val="Sub1"/>
      </w:pPr>
      <w:r>
        <w:t>and Lewis, 40, 41–42</w:t>
      </w:r>
    </w:p>
    <w:p w14:paraId="124AF21A" w14:textId="77777777" w:rsidR="00736C34" w:rsidRDefault="00736C34" w:rsidP="00736C34">
      <w:pPr>
        <w:pStyle w:val="Sub1"/>
      </w:pPr>
      <w:r>
        <w:t>in Paris, 41</w:t>
      </w:r>
    </w:p>
    <w:p w14:paraId="60367FD9" w14:textId="77777777" w:rsidR="00736C34" w:rsidRDefault="00736C34" w:rsidP="00736C34">
      <w:pPr>
        <w:pStyle w:val="Sub1"/>
      </w:pPr>
      <w:r>
        <w:t>in Provence, 14, 63, 67–69</w:t>
      </w:r>
    </w:p>
    <w:p w14:paraId="25D38EB6" w14:textId="77777777" w:rsidR="00736C34" w:rsidRDefault="00736C34" w:rsidP="00736C34">
      <w:pPr>
        <w:pStyle w:val="Main"/>
      </w:pPr>
      <w:r>
        <w:t>John, Gwen, 41, 93</w:t>
      </w:r>
    </w:p>
    <w:p w14:paraId="40169EA7" w14:textId="77777777" w:rsidR="00736C34" w:rsidRDefault="00736C34" w:rsidP="00736C34">
      <w:pPr>
        <w:pStyle w:val="Sub1"/>
      </w:pPr>
      <w:r>
        <w:t>at the Académie Carmen, 47, 49</w:t>
      </w:r>
    </w:p>
    <w:p w14:paraId="3ED151E6" w14:textId="77777777" w:rsidR="00736C34" w:rsidRDefault="00736C34" w:rsidP="00736C34">
      <w:pPr>
        <w:pStyle w:val="Sub1"/>
      </w:pPr>
      <w:r>
        <w:t>as an artist’s model, 49–51</w:t>
      </w:r>
    </w:p>
    <w:p w14:paraId="7F3FA73D" w14:textId="77777777" w:rsidR="00736C34" w:rsidRDefault="00736C34" w:rsidP="00736C34">
      <w:pPr>
        <w:pStyle w:val="Sub1"/>
      </w:pPr>
      <w:r>
        <w:t>and Catholicism, 52–53, 55</w:t>
      </w:r>
    </w:p>
    <w:p w14:paraId="47FFC253" w14:textId="77777777" w:rsidR="00736C34" w:rsidRDefault="00736C34" w:rsidP="00736C34">
      <w:pPr>
        <w:pStyle w:val="Sub1"/>
      </w:pPr>
      <w:r>
        <w:rPr>
          <w:i/>
          <w:iCs/>
        </w:rPr>
        <w:t>A Corner of the Artist’s Room in Paris</w:t>
      </w:r>
      <w:r>
        <w:t>, 52</w:t>
      </w:r>
    </w:p>
    <w:p w14:paraId="39CECB09" w14:textId="77777777" w:rsidR="00736C34" w:rsidRDefault="00736C34" w:rsidP="00736C34">
      <w:pPr>
        <w:pStyle w:val="Sub1"/>
      </w:pPr>
      <w:r>
        <w:t>death, 56</w:t>
      </w:r>
    </w:p>
    <w:p w14:paraId="4D4FECCA" w14:textId="77777777" w:rsidR="00736C34" w:rsidRDefault="00736C34" w:rsidP="00736C34">
      <w:pPr>
        <w:pStyle w:val="Sub1"/>
      </w:pPr>
      <w:r>
        <w:t xml:space="preserve">exhibition at the New </w:t>
      </w:r>
      <w:proofErr w:type="spellStart"/>
      <w:r>
        <w:t>Chenil</w:t>
      </w:r>
      <w:proofErr w:type="spellEnd"/>
      <w:r>
        <w:t xml:space="preserve"> Galleries, 53</w:t>
      </w:r>
    </w:p>
    <w:p w14:paraId="0E3BD707" w14:textId="77777777" w:rsidR="00736C34" w:rsidRDefault="00736C34" w:rsidP="00736C34">
      <w:pPr>
        <w:pStyle w:val="Sub1"/>
      </w:pPr>
      <w:r>
        <w:t>in London, 47</w:t>
      </w:r>
    </w:p>
    <w:p w14:paraId="28B4F29F" w14:textId="77777777" w:rsidR="00736C34" w:rsidRDefault="00736C34" w:rsidP="00736C34">
      <w:pPr>
        <w:pStyle w:val="Sub1"/>
      </w:pPr>
      <w:r>
        <w:t xml:space="preserve">in </w:t>
      </w:r>
      <w:proofErr w:type="spellStart"/>
      <w:r>
        <w:t>Meudon</w:t>
      </w:r>
      <w:proofErr w:type="spellEnd"/>
      <w:r>
        <w:t>, 50–53, 56</w:t>
      </w:r>
    </w:p>
    <w:p w14:paraId="40CC97C0" w14:textId="77777777" w:rsidR="00736C34" w:rsidRDefault="00736C34" w:rsidP="00736C34">
      <w:pPr>
        <w:pStyle w:val="Sub1"/>
      </w:pPr>
      <w:r>
        <w:t>in Montparnasse, Paris, 45–46, 47–48</w:t>
      </w:r>
    </w:p>
    <w:p w14:paraId="03E6805D" w14:textId="77777777" w:rsidR="00736C34" w:rsidRDefault="00736C34" w:rsidP="00736C34">
      <w:pPr>
        <w:pStyle w:val="Sub1"/>
      </w:pPr>
      <w:r>
        <w:t xml:space="preserve">and </w:t>
      </w:r>
      <w:proofErr w:type="spellStart"/>
      <w:r>
        <w:t>Oumançoff</w:t>
      </w:r>
      <w:proofErr w:type="spellEnd"/>
      <w:r>
        <w:t>, 56</w:t>
      </w:r>
    </w:p>
    <w:p w14:paraId="3CD71A92" w14:textId="77777777" w:rsidR="00736C34" w:rsidRDefault="00736C34" w:rsidP="00736C34">
      <w:pPr>
        <w:pStyle w:val="Sub1"/>
      </w:pPr>
      <w:r>
        <w:t>paintings of single female portraits, 53–54</w:t>
      </w:r>
    </w:p>
    <w:p w14:paraId="23232204" w14:textId="77777777" w:rsidR="00736C34" w:rsidRDefault="00736C34" w:rsidP="00736C34">
      <w:pPr>
        <w:pStyle w:val="Sub1"/>
      </w:pPr>
      <w:r>
        <w:t>as a Parisienne/</w:t>
      </w:r>
      <w:r>
        <w:rPr>
          <w:i/>
          <w:iCs/>
        </w:rPr>
        <w:t>femme libre</w:t>
      </w:r>
      <w:r>
        <w:t>, 54, 55</w:t>
      </w:r>
    </w:p>
    <w:p w14:paraId="15DCB82A" w14:textId="77777777" w:rsidR="00736C34" w:rsidRDefault="00736C34" w:rsidP="00736C34">
      <w:pPr>
        <w:pStyle w:val="Sub1"/>
      </w:pPr>
      <w:r>
        <w:t>and Rodin, 50–52</w:t>
      </w:r>
    </w:p>
    <w:p w14:paraId="4F91EC63" w14:textId="77777777" w:rsidR="00736C34" w:rsidRDefault="00736C34" w:rsidP="00736C34">
      <w:pPr>
        <w:pStyle w:val="Sub1"/>
      </w:pPr>
      <w:r>
        <w:t>at the Slade, 46</w:t>
      </w:r>
    </w:p>
    <w:p w14:paraId="12E04CCD" w14:textId="599BD654" w:rsidR="00736C34" w:rsidRDefault="00736C34" w:rsidP="00736C34">
      <w:pPr>
        <w:pStyle w:val="Sub1"/>
      </w:pPr>
      <w:r>
        <w:t>walking tour in France, 47</w:t>
      </w:r>
    </w:p>
    <w:sectPr w:rsidR="00736C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34"/>
    <w:rsid w:val="000E71FF"/>
    <w:rsid w:val="00736C34"/>
    <w:rsid w:val="00870D89"/>
    <w:rsid w:val="00CE203C"/>
    <w:rsid w:val="00D55965"/>
    <w:rsid w:val="00E8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61E8D"/>
  <w15:chartTrackingRefBased/>
  <w15:docId w15:val="{EF66E269-A11A-4F7C-AE98-6A9B6A52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C34"/>
    <w:rPr>
      <w:rFonts w:eastAsiaTheme="minorEastAsia" w:cs="Times New Roman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C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C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6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6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C34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6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C34"/>
    <w:pPr>
      <w:ind w:left="720"/>
      <w:contextualSpacing/>
    </w:pPr>
    <w:rPr>
      <w:rFonts w:eastAsia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6C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C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C34"/>
    <w:rPr>
      <w:b/>
      <w:bCs/>
      <w:smallCaps/>
      <w:color w:val="0F4761" w:themeColor="accent1" w:themeShade="BF"/>
      <w:spacing w:val="5"/>
    </w:rPr>
  </w:style>
  <w:style w:type="paragraph" w:customStyle="1" w:styleId="Main">
    <w:name w:val="Main"/>
    <w:uiPriority w:val="99"/>
    <w:rsid w:val="00736C34"/>
    <w:pPr>
      <w:widowControl w:val="0"/>
      <w:autoSpaceDE w:val="0"/>
      <w:autoSpaceDN w:val="0"/>
      <w:adjustRightInd w:val="0"/>
      <w:spacing w:after="0" w:line="240" w:lineRule="auto"/>
      <w:ind w:left="115" w:hanging="116"/>
    </w:pPr>
    <w:rPr>
      <w:rFonts w:ascii="Times New Roman" w:eastAsiaTheme="minorEastAsia" w:hAnsi="Times New Roman" w:cs="Times New Roman"/>
      <w:kern w:val="0"/>
      <w:sz w:val="22"/>
      <w:szCs w:val="22"/>
      <w:lang w:eastAsia="en-GB"/>
      <w14:ligatures w14:val="none"/>
    </w:rPr>
  </w:style>
  <w:style w:type="paragraph" w:customStyle="1" w:styleId="Sub1">
    <w:name w:val="Sub1"/>
    <w:uiPriority w:val="99"/>
    <w:rsid w:val="00736C34"/>
    <w:pPr>
      <w:widowControl w:val="0"/>
      <w:autoSpaceDE w:val="0"/>
      <w:autoSpaceDN w:val="0"/>
      <w:adjustRightInd w:val="0"/>
      <w:spacing w:after="0" w:line="240" w:lineRule="auto"/>
      <w:ind w:left="345" w:hanging="116"/>
    </w:pPr>
    <w:rPr>
      <w:rFonts w:ascii="Times New Roman" w:eastAsiaTheme="minorEastAsia" w:hAnsi="Times New Roman" w:cs="Times New Roman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Penning</dc:creator>
  <cp:keywords/>
  <dc:description/>
  <cp:lastModifiedBy>Joanna Penning</cp:lastModifiedBy>
  <cp:revision>1</cp:revision>
  <dcterms:created xsi:type="dcterms:W3CDTF">2026-09-06T11:42:00Z</dcterms:created>
  <dcterms:modified xsi:type="dcterms:W3CDTF">2026-09-06T11:44:00Z</dcterms:modified>
</cp:coreProperties>
</file>